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FF" w:rsidRDefault="004C7BFF" w:rsidP="004C7BFF">
      <w:pPr>
        <w:pStyle w:val="90"/>
        <w:framePr w:w="9451" w:h="13663" w:hRule="exact" w:wrap="around" w:vAnchor="page" w:hAnchor="page" w:x="1219" w:y="1548"/>
        <w:shd w:val="clear" w:color="auto" w:fill="auto"/>
        <w:spacing w:before="0" w:after="72" w:line="240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Памятка пациента </w:t>
      </w:r>
      <w:bookmarkStart w:id="0" w:name="_GoBack"/>
      <w:r>
        <w:rPr>
          <w:sz w:val="24"/>
          <w:szCs w:val="24"/>
        </w:rPr>
        <w:t xml:space="preserve">о проведении вакцинации против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</w:t>
      </w:r>
    </w:p>
    <w:p w:rsidR="004C7BFF" w:rsidRDefault="004C7BFF" w:rsidP="004C7BFF">
      <w:pPr>
        <w:pStyle w:val="90"/>
        <w:framePr w:w="9451" w:h="13663" w:hRule="exact" w:wrap="around" w:vAnchor="page" w:hAnchor="page" w:x="1219" w:y="1548"/>
        <w:shd w:val="clear" w:color="auto" w:fill="auto"/>
        <w:spacing w:before="0" w:after="437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вакциной </w:t>
      </w:r>
      <w:bookmarkEnd w:id="0"/>
      <w:r>
        <w:rPr>
          <w:sz w:val="24"/>
          <w:szCs w:val="24"/>
        </w:rPr>
        <w:t>«Гам-Ковид-Вак»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shd w:val="clear" w:color="auto" w:fill="auto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пациент!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shd w:val="clear" w:color="auto" w:fill="auto"/>
        <w:spacing w:after="296" w:line="365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2"/>
        </w:numPr>
        <w:shd w:val="clear" w:color="auto" w:fill="auto"/>
        <w:spacing w:line="37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Вакцинации подлежат лица, не болевшие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 и не имеющие антител к </w:t>
      </w:r>
      <w:r>
        <w:rPr>
          <w:sz w:val="24"/>
          <w:szCs w:val="24"/>
          <w:lang w:val="en-US"/>
        </w:rPr>
        <w:t>SARS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CoV</w:t>
      </w:r>
      <w:r>
        <w:rPr>
          <w:sz w:val="24"/>
          <w:szCs w:val="24"/>
        </w:rPr>
        <w:t>-2 по результатам лабораторных исследований.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2"/>
        </w:numPr>
        <w:shd w:val="clear" w:color="auto" w:fill="auto"/>
        <w:spacing w:line="370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Противопоказаниями к вакцинации являются: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гиперчувствительность к какому-либо компоненту вакцины или вакцины, содержащей аналогичные компоненты;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тяжелые аллергические реакции в анамнезе;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острые инфекционные и неинфекционные заболевания;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обострение хронических заболеваний (вакцинацию проводят через 2-4 недели после выздоровления или ремиссии);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беременность и период грудного вскармливания;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1"/>
        </w:numPr>
        <w:shd w:val="clear" w:color="auto" w:fill="auto"/>
        <w:spacing w:line="37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возраст до 18 лет.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2"/>
        </w:numPr>
        <w:shd w:val="clear" w:color="auto" w:fill="auto"/>
        <w:spacing w:line="37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shd w:val="clear" w:color="auto" w:fill="auto"/>
        <w:spacing w:line="37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2"/>
        </w:numPr>
        <w:shd w:val="clear" w:color="auto" w:fill="auto"/>
        <w:spacing w:line="37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numPr>
          <w:ilvl w:val="0"/>
          <w:numId w:val="2"/>
        </w:numPr>
        <w:shd w:val="clear" w:color="auto" w:fill="auto"/>
        <w:spacing w:line="37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shd w:val="clear" w:color="auto" w:fill="auto"/>
        <w:spacing w:line="36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6.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                                                                                                                                    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4C7BFF" w:rsidRDefault="004C7BFF" w:rsidP="004C7BFF">
      <w:pPr>
        <w:pStyle w:val="2"/>
        <w:framePr w:w="9451" w:h="13663" w:hRule="exact" w:wrap="around" w:vAnchor="page" w:hAnchor="page" w:x="1219" w:y="1548"/>
        <w:shd w:val="clear" w:color="auto" w:fill="auto"/>
        <w:spacing w:line="370" w:lineRule="exact"/>
        <w:ind w:right="20" w:firstLine="0"/>
        <w:jc w:val="both"/>
        <w:rPr>
          <w:sz w:val="24"/>
          <w:szCs w:val="24"/>
        </w:rPr>
      </w:pPr>
    </w:p>
    <w:p w:rsidR="004C7BFF" w:rsidRDefault="004C7BFF" w:rsidP="004C7BFF">
      <w:pPr>
        <w:widowControl/>
        <w:rPr>
          <w:rFonts w:ascii="Times New Roman" w:hAnsi="Times New Roman" w:cs="Times New Roman"/>
        </w:rPr>
        <w:sectPr w:rsidR="004C7BFF">
          <w:pgSz w:w="11906" w:h="16838"/>
          <w:pgMar w:top="0" w:right="0" w:bottom="0" w:left="0" w:header="0" w:footer="3" w:gutter="0"/>
          <w:cols w:space="720"/>
        </w:sectPr>
      </w:pPr>
    </w:p>
    <w:p w:rsidR="004C7BFF" w:rsidRDefault="004C7BFF" w:rsidP="004C7BFF">
      <w:pPr>
        <w:pStyle w:val="2"/>
        <w:framePr w:w="9400" w:h="5608" w:hRule="exact" w:wrap="around" w:vAnchor="page" w:hAnchor="page" w:x="1261" w:y="541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4C7BFF" w:rsidRDefault="004C7BFF" w:rsidP="004C7BFF">
      <w:pPr>
        <w:pStyle w:val="2"/>
        <w:framePr w:w="9400" w:h="5608" w:hRule="exact" w:wrap="around" w:vAnchor="page" w:hAnchor="page" w:x="1261" w:y="541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  <w:r>
        <w:rPr>
          <w:rStyle w:val="1"/>
        </w:rPr>
        <w:t xml:space="preserve">Рекомендуется </w:t>
      </w:r>
      <w:r>
        <w:rPr>
          <w:sz w:val="24"/>
          <w:szCs w:val="24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C7BFF" w:rsidRDefault="004C7BFF" w:rsidP="004C7BFF">
      <w:pPr>
        <w:pStyle w:val="2"/>
        <w:framePr w:w="9400" w:h="5608" w:hRule="exact" w:wrap="around" w:vAnchor="page" w:hAnchor="page" w:x="1261" w:y="541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4C7BFF" w:rsidRDefault="004C7BFF" w:rsidP="004C7BFF">
      <w:pPr>
        <w:pStyle w:val="90"/>
        <w:framePr w:w="9400" w:h="5608" w:hRule="exact" w:wrap="around" w:vAnchor="page" w:hAnchor="page" w:x="1261" w:y="541"/>
        <w:shd w:val="clear" w:color="auto" w:fill="auto"/>
        <w:spacing w:before="0" w:line="367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Вакцина против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4C7BFF" w:rsidRDefault="004C7BFF" w:rsidP="004C7BFF">
      <w:pPr>
        <w:widowControl/>
        <w:rPr>
          <w:rFonts w:ascii="Times New Roman" w:hAnsi="Times New Roman" w:cs="Times New Roman"/>
        </w:rPr>
        <w:sectPr w:rsidR="004C7BFF">
          <w:pgSz w:w="11906" w:h="16838"/>
          <w:pgMar w:top="0" w:right="0" w:bottom="0" w:left="0" w:header="0" w:footer="3" w:gutter="0"/>
          <w:cols w:space="720"/>
        </w:sectPr>
      </w:pPr>
    </w:p>
    <w:p w:rsidR="00C90F77" w:rsidRDefault="00C90F77"/>
    <w:sectPr w:rsidR="00C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4F58"/>
    <w:multiLevelType w:val="multilevel"/>
    <w:tmpl w:val="60C267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FD16DBC"/>
    <w:multiLevelType w:val="multilevel"/>
    <w:tmpl w:val="3B9AEF6E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1"/>
    <w:rsid w:val="00094AD1"/>
    <w:rsid w:val="004C7BFF"/>
    <w:rsid w:val="00C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EB6F-B21E-4FC8-96DC-C5231BD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C7BFF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4C7BFF"/>
    <w:pPr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color w:val="auto"/>
      <w:spacing w:val="4"/>
      <w:sz w:val="22"/>
      <w:szCs w:val="22"/>
      <w:lang w:eastAsia="en-US"/>
    </w:rPr>
  </w:style>
  <w:style w:type="character" w:customStyle="1" w:styleId="9">
    <w:name w:val="Основной текст (9)_"/>
    <w:link w:val="90"/>
    <w:locked/>
    <w:rsid w:val="004C7BFF"/>
    <w:rPr>
      <w:b/>
      <w:bCs/>
      <w:spacing w:val="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C7BFF"/>
    <w:pPr>
      <w:shd w:val="clear" w:color="auto" w:fill="FFFFFF"/>
      <w:spacing w:before="900" w:line="317" w:lineRule="exact"/>
    </w:pPr>
    <w:rPr>
      <w:rFonts w:asciiTheme="minorHAnsi" w:eastAsiaTheme="minorHAnsi" w:hAnsiTheme="minorHAnsi" w:cstheme="minorBidi"/>
      <w:b/>
      <w:bCs/>
      <w:color w:val="auto"/>
      <w:spacing w:val="5"/>
      <w:sz w:val="22"/>
      <w:szCs w:val="22"/>
      <w:lang w:eastAsia="en-US"/>
    </w:rPr>
  </w:style>
  <w:style w:type="character" w:customStyle="1" w:styleId="1">
    <w:name w:val="Основной текст + Полужирный1"/>
    <w:aliases w:val="Интервал 0 pt4"/>
    <w:rsid w:val="004C7BFF"/>
    <w:rPr>
      <w:b/>
      <w:bCs/>
      <w:color w:val="000000"/>
      <w:spacing w:val="5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2021-02-01T09:47:00Z</dcterms:created>
  <dcterms:modified xsi:type="dcterms:W3CDTF">2021-02-01T09:48:00Z</dcterms:modified>
</cp:coreProperties>
</file>